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2018年第四期上市公司财务总监培训班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培训时间：2018年8月20日-21日</w:t>
      </w:r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培训地点：哈尔滨</w:t>
      </w:r>
      <w:r>
        <w:rPr>
          <w:rFonts w:ascii="仿宋" w:hAnsi="仿宋" w:eastAsia="仿宋" w:cs="仿宋"/>
          <w:kern w:val="0"/>
          <w:sz w:val="28"/>
          <w:szCs w:val="28"/>
        </w:rPr>
        <w:t>香格里拉大酒店</w:t>
      </w:r>
    </w:p>
    <w:tbl>
      <w:tblPr>
        <w:tblStyle w:val="4"/>
        <w:tblW w:w="89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 程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8月20日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星期一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课程主题：上市公司最新监管政策解读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课程主题：上市公司定期报告披露与会计问题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授课专家：上海证券交易所公司监管部专家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8月21日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星期二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课程主题：上市公司执行企业会计准则问题与监管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授课专家：中国证监会会计部专家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课程主题：最新财务违规案例剖析与公司内控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授课专家：江苏证监局专家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